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CD" w:rsidRDefault="008C23FF" w:rsidP="006837CD">
      <w:pPr>
        <w:jc w:val="center"/>
        <w:rPr>
          <w:color w:val="002060"/>
          <w:sz w:val="44"/>
          <w:szCs w:val="44"/>
        </w:rPr>
      </w:pPr>
      <w:r>
        <w:rPr>
          <w:rFonts w:cs="Arial"/>
          <w:b/>
          <w:noProof/>
          <w:color w:val="003366"/>
          <w:position w:val="4"/>
          <w:lang w:eastAsia="en-GB"/>
        </w:rPr>
        <w:drawing>
          <wp:anchor distT="0" distB="0" distL="114300" distR="114300" simplePos="0" relativeHeight="251659264" behindDoc="0" locked="0" layoutInCell="1" allowOverlap="1" wp14:anchorId="22D314AF" wp14:editId="16CD36AC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571750" cy="1419225"/>
            <wp:effectExtent l="0" t="0" r="0" b="9525"/>
            <wp:wrapNone/>
            <wp:docPr id="2" name="Picture 2" descr="WDC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7CD" w:rsidRDefault="006837CD" w:rsidP="006837CD">
      <w:pPr>
        <w:jc w:val="center"/>
        <w:rPr>
          <w:color w:val="002060"/>
          <w:sz w:val="44"/>
          <w:szCs w:val="44"/>
        </w:rPr>
      </w:pPr>
    </w:p>
    <w:p w:rsidR="00EA486D" w:rsidRDefault="00EA486D" w:rsidP="006837CD">
      <w:pPr>
        <w:jc w:val="center"/>
        <w:rPr>
          <w:color w:val="002060"/>
          <w:sz w:val="44"/>
          <w:szCs w:val="44"/>
        </w:rPr>
      </w:pPr>
    </w:p>
    <w:p w:rsidR="00EA486D" w:rsidRDefault="00EA486D" w:rsidP="006837CD">
      <w:pPr>
        <w:jc w:val="center"/>
        <w:rPr>
          <w:color w:val="002060"/>
          <w:sz w:val="44"/>
          <w:szCs w:val="44"/>
        </w:rPr>
      </w:pPr>
    </w:p>
    <w:p w:rsidR="00E1042D" w:rsidRDefault="00E1042D" w:rsidP="006837CD">
      <w:pPr>
        <w:jc w:val="center"/>
        <w:rPr>
          <w:color w:val="002060"/>
          <w:sz w:val="44"/>
          <w:szCs w:val="44"/>
        </w:rPr>
      </w:pPr>
    </w:p>
    <w:p w:rsidR="00E1042D" w:rsidRDefault="00E1042D" w:rsidP="006837CD">
      <w:pPr>
        <w:jc w:val="center"/>
        <w:rPr>
          <w:color w:val="002060"/>
          <w:sz w:val="44"/>
          <w:szCs w:val="44"/>
        </w:rPr>
      </w:pPr>
    </w:p>
    <w:p w:rsidR="006837CD" w:rsidRPr="00E1042D" w:rsidRDefault="006D189E" w:rsidP="006837CD">
      <w:pPr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 xml:space="preserve">Copy of draft </w:t>
      </w:r>
      <w:r w:rsidR="00AE0C88">
        <w:rPr>
          <w:rFonts w:ascii="Arial" w:hAnsi="Arial" w:cs="Arial"/>
          <w:color w:val="002060"/>
          <w:sz w:val="48"/>
          <w:szCs w:val="48"/>
        </w:rPr>
        <w:t xml:space="preserve">Annex to the </w:t>
      </w:r>
      <w:r w:rsidR="0086208E">
        <w:rPr>
          <w:rFonts w:ascii="Arial" w:hAnsi="Arial" w:cs="Arial"/>
          <w:color w:val="002060"/>
          <w:sz w:val="48"/>
          <w:szCs w:val="48"/>
        </w:rPr>
        <w:t xml:space="preserve">Housing </w:t>
      </w:r>
      <w:r w:rsidR="006837CD" w:rsidRPr="00E1042D">
        <w:rPr>
          <w:rFonts w:ascii="Arial" w:hAnsi="Arial" w:cs="Arial"/>
          <w:color w:val="002060"/>
          <w:sz w:val="48"/>
          <w:szCs w:val="48"/>
        </w:rPr>
        <w:t xml:space="preserve">Allocations Policy </w:t>
      </w:r>
    </w:p>
    <w:p w:rsidR="00EE5505" w:rsidRDefault="006D189E" w:rsidP="006D189E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To be discussed at WDC/WDTRO Liaison meeting 22/10/20</w:t>
      </w:r>
    </w:p>
    <w:p w:rsidR="00EE5505" w:rsidRDefault="00EE5505" w:rsidP="006837CD">
      <w:pPr>
        <w:jc w:val="center"/>
        <w:rPr>
          <w:color w:val="002060"/>
          <w:sz w:val="44"/>
          <w:szCs w:val="44"/>
        </w:rPr>
      </w:pPr>
    </w:p>
    <w:p w:rsidR="00EE5505" w:rsidRDefault="00EE5505" w:rsidP="006837CD">
      <w:pPr>
        <w:jc w:val="center"/>
        <w:rPr>
          <w:color w:val="002060"/>
          <w:sz w:val="44"/>
          <w:szCs w:val="44"/>
        </w:rPr>
      </w:pPr>
    </w:p>
    <w:p w:rsidR="00EE5505" w:rsidRDefault="00EE5505" w:rsidP="00A84944">
      <w:pPr>
        <w:rPr>
          <w:color w:val="002060"/>
          <w:sz w:val="44"/>
          <w:szCs w:val="44"/>
        </w:rPr>
      </w:pPr>
    </w:p>
    <w:p w:rsidR="00EE5505" w:rsidRDefault="00EE5505" w:rsidP="006837CD">
      <w:pPr>
        <w:jc w:val="center"/>
        <w:rPr>
          <w:color w:val="002060"/>
          <w:sz w:val="44"/>
          <w:szCs w:val="44"/>
        </w:rPr>
      </w:pPr>
    </w:p>
    <w:p w:rsidR="00EE5505" w:rsidRDefault="00A84944" w:rsidP="006837CD">
      <w:pPr>
        <w:jc w:val="center"/>
        <w:rPr>
          <w:color w:val="00206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630281" wp14:editId="3864021B">
            <wp:simplePos x="0" y="0"/>
            <wp:positionH relativeFrom="column">
              <wp:posOffset>-540385</wp:posOffset>
            </wp:positionH>
            <wp:positionV relativeFrom="paragraph">
              <wp:posOffset>403860</wp:posOffset>
            </wp:positionV>
            <wp:extent cx="1363980" cy="943610"/>
            <wp:effectExtent l="0" t="0" r="7620" b="8890"/>
            <wp:wrapNone/>
            <wp:docPr id="230" name="Picture 13" descr="Picture of houses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E48A643" wp14:editId="441F522C">
            <wp:simplePos x="0" y="0"/>
            <wp:positionH relativeFrom="column">
              <wp:posOffset>821055</wp:posOffset>
            </wp:positionH>
            <wp:positionV relativeFrom="paragraph">
              <wp:posOffset>400050</wp:posOffset>
            </wp:positionV>
            <wp:extent cx="1363980" cy="943610"/>
            <wp:effectExtent l="0" t="0" r="7620" b="8890"/>
            <wp:wrapNone/>
            <wp:docPr id="233" name="Picture 16" descr="Pictur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0A0492A" wp14:editId="2023884E">
            <wp:simplePos x="0" y="0"/>
            <wp:positionH relativeFrom="column">
              <wp:posOffset>2182495</wp:posOffset>
            </wp:positionH>
            <wp:positionV relativeFrom="paragraph">
              <wp:posOffset>400685</wp:posOffset>
            </wp:positionV>
            <wp:extent cx="1363980" cy="943610"/>
            <wp:effectExtent l="0" t="0" r="7620" b="8890"/>
            <wp:wrapNone/>
            <wp:docPr id="236" name="Picture 19" descr="Picur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30ED16" wp14:editId="06040E52">
            <wp:simplePos x="0" y="0"/>
            <wp:positionH relativeFrom="column">
              <wp:posOffset>3543935</wp:posOffset>
            </wp:positionH>
            <wp:positionV relativeFrom="paragraph">
              <wp:posOffset>400685</wp:posOffset>
            </wp:positionV>
            <wp:extent cx="1363980" cy="943610"/>
            <wp:effectExtent l="0" t="0" r="7620" b="8890"/>
            <wp:wrapNone/>
            <wp:docPr id="239" name="Picture 22" descr="Picture of multi storey fl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4A606CA" wp14:editId="505F4EE8">
            <wp:simplePos x="0" y="0"/>
            <wp:positionH relativeFrom="column">
              <wp:posOffset>4904740</wp:posOffset>
            </wp:positionH>
            <wp:positionV relativeFrom="paragraph">
              <wp:posOffset>399415</wp:posOffset>
            </wp:positionV>
            <wp:extent cx="1363980" cy="943610"/>
            <wp:effectExtent l="0" t="0" r="7620" b="8890"/>
            <wp:wrapNone/>
            <wp:docPr id="242" name="Picture 25" descr="Picture of 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43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E5505" w:rsidRDefault="00EE5505" w:rsidP="00A84944">
      <w:pPr>
        <w:rPr>
          <w:color w:val="002060"/>
          <w:sz w:val="44"/>
          <w:szCs w:val="44"/>
        </w:rPr>
      </w:pPr>
    </w:p>
    <w:p w:rsidR="008C23FF" w:rsidRDefault="008C23FF" w:rsidP="008C23FF">
      <w:pPr>
        <w:rPr>
          <w:color w:val="002060"/>
          <w:sz w:val="44"/>
          <w:szCs w:val="44"/>
        </w:rPr>
      </w:pPr>
      <w:bookmarkStart w:id="0" w:name="_GoBack"/>
      <w:bookmarkEnd w:id="0"/>
    </w:p>
    <w:p w:rsidR="009777B4" w:rsidRDefault="009777B4" w:rsidP="008C23FF">
      <w:pPr>
        <w:rPr>
          <w:color w:val="002060"/>
          <w:sz w:val="44"/>
          <w:szCs w:val="44"/>
        </w:rPr>
      </w:pPr>
    </w:p>
    <w:p w:rsidR="00EE5505" w:rsidRPr="00EA0EDB" w:rsidRDefault="00EE5505" w:rsidP="00EE55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0EDB">
        <w:rPr>
          <w:rFonts w:ascii="Arial" w:hAnsi="Arial" w:cs="Arial"/>
          <w:b/>
          <w:sz w:val="24"/>
          <w:szCs w:val="24"/>
        </w:rPr>
        <w:t>Introduction</w:t>
      </w:r>
    </w:p>
    <w:p w:rsidR="00AE0C88" w:rsidRDefault="00B14066" w:rsidP="009C39E8">
      <w:pPr>
        <w:spacing w:after="0" w:line="240" w:lineRule="auto"/>
        <w:ind w:right="-18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AE0C88">
        <w:rPr>
          <w:rFonts w:ascii="Arial" w:hAnsi="Arial" w:cs="Arial"/>
          <w:sz w:val="24"/>
          <w:szCs w:val="24"/>
        </w:rPr>
        <w:t>Annex to the Housing Allocations Policy outlines technical changes to the policy approved by the Housing and Communities Committee in November 2020 and outlines</w:t>
      </w:r>
      <w:r w:rsidR="00AE0C88">
        <w:rPr>
          <w:rFonts w:ascii="Arial" w:hAnsi="Arial" w:cs="Arial"/>
          <w:sz w:val="24"/>
          <w:szCs w:val="24"/>
          <w:lang w:val="en-US"/>
        </w:rPr>
        <w:t xml:space="preserve"> a timetable for a</w:t>
      </w:r>
      <w:r w:rsidRPr="00B14066">
        <w:rPr>
          <w:rFonts w:ascii="Arial" w:hAnsi="Arial" w:cs="Arial"/>
          <w:sz w:val="24"/>
          <w:szCs w:val="24"/>
          <w:lang w:val="en-US"/>
        </w:rPr>
        <w:t xml:space="preserve"> full review </w:t>
      </w:r>
      <w:r w:rsidR="00AE0C88">
        <w:rPr>
          <w:rFonts w:ascii="Arial" w:hAnsi="Arial" w:cs="Arial"/>
          <w:sz w:val="24"/>
          <w:szCs w:val="24"/>
          <w:lang w:val="en-US"/>
        </w:rPr>
        <w:t>and update of the p</w:t>
      </w:r>
      <w:r w:rsidRPr="00B14066">
        <w:rPr>
          <w:rFonts w:ascii="Arial" w:hAnsi="Arial" w:cs="Arial"/>
          <w:sz w:val="24"/>
          <w:szCs w:val="24"/>
          <w:lang w:val="en-US"/>
        </w:rPr>
        <w:t xml:space="preserve">olicy </w:t>
      </w:r>
      <w:r w:rsidR="00AE0C88">
        <w:rPr>
          <w:rFonts w:ascii="Arial" w:hAnsi="Arial" w:cs="Arial"/>
          <w:sz w:val="24"/>
          <w:szCs w:val="24"/>
          <w:lang w:val="en-US"/>
        </w:rPr>
        <w:t>which will be carried out.</w:t>
      </w:r>
    </w:p>
    <w:p w:rsid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C39E8" w:rsidRDefault="009C39E8" w:rsidP="009C39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E0C88" w:rsidRPr="00AE0C88" w:rsidRDefault="00AE0C88" w:rsidP="00AE0C88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E0C88">
        <w:rPr>
          <w:rFonts w:ascii="Arial" w:hAnsi="Arial" w:cs="Arial"/>
          <w:b/>
          <w:bCs/>
          <w:sz w:val="24"/>
          <w:szCs w:val="24"/>
        </w:rPr>
        <w:t>No Home for Domestic Abuse</w:t>
      </w:r>
    </w:p>
    <w:p w:rsid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E0C88">
        <w:rPr>
          <w:rFonts w:ascii="Arial" w:hAnsi="Arial" w:cs="Arial"/>
          <w:sz w:val="24"/>
          <w:szCs w:val="24"/>
        </w:rPr>
        <w:t>No Home for Domestic Abuse</w:t>
      </w:r>
      <w:r>
        <w:rPr>
          <w:rFonts w:ascii="Arial" w:hAnsi="Arial" w:cs="Arial"/>
          <w:sz w:val="24"/>
          <w:szCs w:val="24"/>
        </w:rPr>
        <w:t>”</w:t>
      </w:r>
      <w:r w:rsidRPr="00AE0C88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the Council’s</w:t>
      </w:r>
      <w:r w:rsidRPr="00AE0C88">
        <w:rPr>
          <w:rFonts w:ascii="Arial" w:hAnsi="Arial" w:cs="Arial"/>
          <w:sz w:val="24"/>
          <w:szCs w:val="24"/>
        </w:rPr>
        <w:t xml:space="preserve"> zero tolerance </w:t>
      </w:r>
      <w:r w:rsidR="0099060C">
        <w:rPr>
          <w:rFonts w:ascii="Arial" w:hAnsi="Arial" w:cs="Arial"/>
          <w:sz w:val="24"/>
          <w:szCs w:val="24"/>
        </w:rPr>
        <w:t xml:space="preserve">policy </w:t>
      </w:r>
      <w:r w:rsidRPr="00AE0C88">
        <w:rPr>
          <w:rFonts w:ascii="Arial" w:hAnsi="Arial" w:cs="Arial"/>
          <w:sz w:val="24"/>
          <w:szCs w:val="24"/>
        </w:rPr>
        <w:t>approach to domestic abuse occurring within our properties. It provides victims/survivors of domestic abuse with access to practical help, legal assistance and support to allow them to remain if this is what they want.</w:t>
      </w:r>
    </w:p>
    <w:p w:rsidR="009C39E8" w:rsidRDefault="009C39E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The current Allocati</w:t>
      </w:r>
      <w:r>
        <w:rPr>
          <w:rFonts w:ascii="Arial" w:hAnsi="Arial" w:cs="Arial"/>
          <w:sz w:val="24"/>
          <w:szCs w:val="24"/>
        </w:rPr>
        <w:t>ons Policy was approved</w:t>
      </w:r>
      <w:r w:rsidRPr="00AE0C88">
        <w:rPr>
          <w:rFonts w:ascii="Arial" w:hAnsi="Arial" w:cs="Arial"/>
          <w:sz w:val="24"/>
          <w:szCs w:val="24"/>
        </w:rPr>
        <w:t xml:space="preserve"> prior to the </w:t>
      </w:r>
      <w:r>
        <w:rPr>
          <w:rFonts w:ascii="Arial" w:hAnsi="Arial" w:cs="Arial"/>
          <w:sz w:val="24"/>
          <w:szCs w:val="24"/>
        </w:rPr>
        <w:t>our “No Home for Domestic A</w:t>
      </w:r>
      <w:r w:rsidRPr="00AE0C88">
        <w:rPr>
          <w:rFonts w:ascii="Arial" w:hAnsi="Arial" w:cs="Arial"/>
          <w:sz w:val="24"/>
          <w:szCs w:val="24"/>
        </w:rPr>
        <w:t>buse</w:t>
      </w:r>
      <w:r>
        <w:rPr>
          <w:rFonts w:ascii="Arial" w:hAnsi="Arial" w:cs="Arial"/>
          <w:sz w:val="24"/>
          <w:szCs w:val="24"/>
        </w:rPr>
        <w:t>” initiative</w:t>
      </w:r>
      <w:r w:rsidRPr="00AE0C88">
        <w:rPr>
          <w:rFonts w:ascii="Arial" w:hAnsi="Arial" w:cs="Arial"/>
          <w:sz w:val="24"/>
          <w:szCs w:val="24"/>
        </w:rPr>
        <w:t xml:space="preserve"> being established.  To </w:t>
      </w:r>
      <w:r>
        <w:rPr>
          <w:rFonts w:ascii="Arial" w:hAnsi="Arial" w:cs="Arial"/>
          <w:sz w:val="24"/>
          <w:szCs w:val="24"/>
        </w:rPr>
        <w:t xml:space="preserve">fully </w:t>
      </w:r>
      <w:r w:rsidRPr="00AE0C88">
        <w:rPr>
          <w:rFonts w:ascii="Arial" w:hAnsi="Arial" w:cs="Arial"/>
          <w:sz w:val="24"/>
          <w:szCs w:val="24"/>
        </w:rPr>
        <w:t xml:space="preserve">align the </w:t>
      </w:r>
      <w:r>
        <w:rPr>
          <w:rFonts w:ascii="Arial" w:hAnsi="Arial" w:cs="Arial"/>
          <w:sz w:val="24"/>
          <w:szCs w:val="24"/>
        </w:rPr>
        <w:t xml:space="preserve">policy with this approach </w:t>
      </w:r>
      <w:r w:rsidRPr="00AE0C88">
        <w:rPr>
          <w:rFonts w:ascii="Arial" w:hAnsi="Arial" w:cs="Arial"/>
          <w:sz w:val="24"/>
          <w:szCs w:val="24"/>
        </w:rPr>
        <w:t>and to support victims to stay in their own homes and to make them feel safe, our Allocations Policy requires a flexibility to address the housing needs of perpetrators.</w:t>
      </w:r>
    </w:p>
    <w:p w:rsidR="009C39E8" w:rsidRPr="00AE0C88" w:rsidRDefault="009C39E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 xml:space="preserve">Council tenants who are victims of domestic abuse are offered a range of housing  advice based on their </w:t>
      </w:r>
      <w:r>
        <w:rPr>
          <w:rFonts w:ascii="Arial" w:hAnsi="Arial" w:cs="Arial"/>
          <w:sz w:val="24"/>
          <w:szCs w:val="24"/>
        </w:rPr>
        <w:t>circumstances to support them.</w:t>
      </w:r>
    </w:p>
    <w:p w:rsidR="009C39E8" w:rsidRDefault="009C39E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C88" w:rsidRPr="00AE0C88" w:rsidRDefault="00AE0C88" w:rsidP="00AE0C88">
      <w:pPr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This includes:</w:t>
      </w:r>
    </w:p>
    <w:p w:rsidR="00AE0C88" w:rsidRPr="00AE0C88" w:rsidRDefault="00BE260A" w:rsidP="009C39E8">
      <w:pPr>
        <w:numPr>
          <w:ilvl w:val="0"/>
          <w:numId w:val="16"/>
        </w:numPr>
        <w:spacing w:after="12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</w:t>
      </w:r>
      <w:r w:rsidR="00AE0C88" w:rsidRPr="00AE0C88">
        <w:rPr>
          <w:rFonts w:ascii="Arial" w:hAnsi="Arial" w:cs="Arial"/>
          <w:sz w:val="24"/>
          <w:szCs w:val="24"/>
        </w:rPr>
        <w:t xml:space="preserve">porting victims to remain in their own home – including transferring the tenancy into their own </w:t>
      </w:r>
      <w:r w:rsidR="00AE0C88">
        <w:rPr>
          <w:rFonts w:ascii="Arial" w:hAnsi="Arial" w:cs="Arial"/>
          <w:sz w:val="24"/>
          <w:szCs w:val="24"/>
        </w:rPr>
        <w:t xml:space="preserve">name where possible. </w:t>
      </w:r>
      <w:r w:rsidR="00AE0C88" w:rsidRPr="00AE0C88">
        <w:rPr>
          <w:rFonts w:ascii="Arial" w:hAnsi="Arial" w:cs="Arial"/>
          <w:sz w:val="24"/>
          <w:szCs w:val="24"/>
        </w:rPr>
        <w:t>Support includes making the victim feels safe and security measures such as lock changes</w:t>
      </w:r>
      <w:r w:rsidR="00AE0C88">
        <w:rPr>
          <w:rFonts w:ascii="Arial" w:hAnsi="Arial" w:cs="Arial"/>
          <w:sz w:val="24"/>
          <w:szCs w:val="24"/>
        </w:rPr>
        <w:t>;</w:t>
      </w:r>
    </w:p>
    <w:p w:rsidR="00AE0C88" w:rsidRPr="00AE0C88" w:rsidRDefault="00AE0C88" w:rsidP="009C39E8">
      <w:pPr>
        <w:numPr>
          <w:ilvl w:val="0"/>
          <w:numId w:val="16"/>
        </w:numPr>
        <w:spacing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Supporting victims to ga</w:t>
      </w:r>
      <w:r>
        <w:rPr>
          <w:rFonts w:ascii="Arial" w:hAnsi="Arial" w:cs="Arial"/>
          <w:sz w:val="24"/>
          <w:szCs w:val="24"/>
        </w:rPr>
        <w:t>in legal information and advice;</w:t>
      </w:r>
    </w:p>
    <w:p w:rsidR="00AE0C88" w:rsidRPr="00AE0C88" w:rsidRDefault="00AE0C88" w:rsidP="009C39E8">
      <w:pPr>
        <w:numPr>
          <w:ilvl w:val="0"/>
          <w:numId w:val="16"/>
        </w:numPr>
        <w:spacing w:after="12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Supporting victims to access specialist domestic abuse support</w:t>
      </w:r>
      <w:r>
        <w:rPr>
          <w:rFonts w:ascii="Arial" w:hAnsi="Arial" w:cs="Arial"/>
          <w:sz w:val="24"/>
          <w:szCs w:val="24"/>
        </w:rPr>
        <w:t>; and</w:t>
      </w:r>
    </w:p>
    <w:p w:rsidR="00AE0C88" w:rsidRPr="00AE0C88" w:rsidRDefault="00AE0C88" w:rsidP="00AE0C88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Providing suitable alternative safe and secure accommodation via the homeless service</w:t>
      </w:r>
      <w:r>
        <w:rPr>
          <w:rFonts w:ascii="Arial" w:hAnsi="Arial" w:cs="Arial"/>
          <w:sz w:val="24"/>
          <w:szCs w:val="24"/>
        </w:rPr>
        <w:t>.</w:t>
      </w:r>
    </w:p>
    <w:p w:rsidR="00AE0C88" w:rsidRDefault="00BE260A" w:rsidP="009C3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Council:</w:t>
      </w:r>
    </w:p>
    <w:p w:rsidR="009C39E8" w:rsidRPr="00AE0C88" w:rsidRDefault="009C39E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C88" w:rsidRPr="00BE260A" w:rsidRDefault="00AE0C88" w:rsidP="009C39E8">
      <w:pPr>
        <w:numPr>
          <w:ilvl w:val="0"/>
          <w:numId w:val="17"/>
        </w:numPr>
        <w:spacing w:after="12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will use the full scope of Anti-Social Behaviour powers in conjunction with Housing and Matrimonial Homes Legislation to legally re</w:t>
      </w:r>
      <w:r w:rsidR="00BE260A">
        <w:rPr>
          <w:rFonts w:ascii="Arial" w:hAnsi="Arial" w:cs="Arial"/>
          <w:sz w:val="24"/>
          <w:szCs w:val="24"/>
        </w:rPr>
        <w:t>move perpetrators if we need to;</w:t>
      </w:r>
    </w:p>
    <w:p w:rsidR="00AE0C88" w:rsidRPr="00BE260A" w:rsidRDefault="00AE0C88" w:rsidP="009C39E8">
      <w:pPr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E0C88">
        <w:rPr>
          <w:rFonts w:ascii="Arial" w:hAnsi="Arial" w:cs="Arial"/>
          <w:sz w:val="24"/>
          <w:szCs w:val="24"/>
        </w:rPr>
        <w:t>recognise</w:t>
      </w:r>
      <w:r w:rsidR="00BE260A">
        <w:rPr>
          <w:rFonts w:ascii="Arial" w:hAnsi="Arial" w:cs="Arial"/>
          <w:sz w:val="24"/>
          <w:szCs w:val="24"/>
        </w:rPr>
        <w:t>s</w:t>
      </w:r>
      <w:r w:rsidRPr="00AE0C88">
        <w:rPr>
          <w:rFonts w:ascii="Arial" w:hAnsi="Arial" w:cs="Arial"/>
          <w:sz w:val="24"/>
          <w:szCs w:val="24"/>
        </w:rPr>
        <w:t xml:space="preserve"> that in order to support victims to stay in their own homes and to make them feel safer we must al</w:t>
      </w:r>
      <w:r w:rsidR="00BE260A">
        <w:rPr>
          <w:rFonts w:ascii="Arial" w:hAnsi="Arial" w:cs="Arial"/>
          <w:sz w:val="24"/>
          <w:szCs w:val="24"/>
        </w:rPr>
        <w:t xml:space="preserve">so address the housing needs of perpetrators. </w:t>
      </w:r>
      <w:r w:rsidRPr="00AE0C88">
        <w:rPr>
          <w:rFonts w:ascii="Arial" w:hAnsi="Arial" w:cs="Arial"/>
          <w:sz w:val="24"/>
          <w:szCs w:val="24"/>
        </w:rPr>
        <w:t xml:space="preserve">Those found guilty of committing domestic abuse will be offered short-term or permanent tenancies dependant on their circumstances </w:t>
      </w:r>
      <w:r w:rsidR="00BE260A">
        <w:rPr>
          <w:rFonts w:ascii="Arial" w:hAnsi="Arial" w:cs="Arial"/>
          <w:sz w:val="24"/>
          <w:szCs w:val="24"/>
        </w:rPr>
        <w:t xml:space="preserve">and </w:t>
      </w:r>
      <w:r w:rsidRPr="00AE0C88">
        <w:rPr>
          <w:rFonts w:ascii="Arial" w:hAnsi="Arial" w:cs="Arial"/>
          <w:sz w:val="24"/>
          <w:szCs w:val="24"/>
        </w:rPr>
        <w:t>appropriately distanced from the victim.</w:t>
      </w:r>
    </w:p>
    <w:p w:rsidR="00BE260A" w:rsidRDefault="00BE260A" w:rsidP="009C39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E260A" w:rsidRPr="00BE260A" w:rsidRDefault="00BE260A" w:rsidP="0099060C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BE260A">
        <w:rPr>
          <w:rFonts w:ascii="Arial" w:hAnsi="Arial" w:cs="Arial"/>
          <w:bCs/>
          <w:sz w:val="24"/>
          <w:szCs w:val="24"/>
        </w:rPr>
        <w:t xml:space="preserve">This is in line with the </w:t>
      </w:r>
      <w:r w:rsidRPr="00BE260A">
        <w:rPr>
          <w:rFonts w:ascii="Arial" w:hAnsi="Arial" w:cs="Arial"/>
          <w:bCs/>
          <w:sz w:val="24"/>
          <w:szCs w:val="24"/>
          <w:lang w:val="en"/>
        </w:rPr>
        <w:t xml:space="preserve">Domestic Abuse (Protection) (Scotland) Bill, which if passed by Parliament will allow  social landlords to end or transfer a tenancy of a perpetrator </w:t>
      </w:r>
      <w:r w:rsidRPr="00BE260A">
        <w:rPr>
          <w:rFonts w:ascii="Arial" w:hAnsi="Arial" w:cs="Arial"/>
          <w:bCs/>
          <w:sz w:val="24"/>
          <w:szCs w:val="24"/>
          <w:lang w:val="en"/>
        </w:rPr>
        <w:lastRenderedPageBreak/>
        <w:t>of domestic abuse to prevent a victim becoming homeless and enabling them to remain in the family home.</w:t>
      </w:r>
    </w:p>
    <w:p w:rsidR="00AE0C88" w:rsidRP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C88" w:rsidRDefault="00AE0C88" w:rsidP="009C39E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0C88">
        <w:rPr>
          <w:rFonts w:ascii="Arial" w:hAnsi="Arial" w:cs="Arial"/>
          <w:b/>
          <w:bCs/>
          <w:sz w:val="24"/>
          <w:szCs w:val="24"/>
        </w:rPr>
        <w:t>New Build for Specific Needs</w:t>
      </w:r>
    </w:p>
    <w:p w:rsidR="009C39E8" w:rsidRPr="00BE260A" w:rsidRDefault="009C39E8" w:rsidP="009C39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0C88" w:rsidRPr="00AE0C88" w:rsidRDefault="00BE260A" w:rsidP="009906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</w:t>
      </w:r>
      <w:r w:rsidR="0099060C">
        <w:rPr>
          <w:rFonts w:ascii="Arial" w:hAnsi="Arial" w:cs="Arial"/>
          <w:sz w:val="24"/>
          <w:szCs w:val="24"/>
        </w:rPr>
        <w:t xml:space="preserve">is committed to delivering new housing as part of our More Homes West Dunbartonshire approach </w:t>
      </w:r>
      <w:r w:rsidR="00AE0C88" w:rsidRPr="00AE0C88">
        <w:rPr>
          <w:rFonts w:ascii="Arial" w:hAnsi="Arial" w:cs="Arial"/>
          <w:sz w:val="24"/>
          <w:szCs w:val="24"/>
        </w:rPr>
        <w:t xml:space="preserve">  Where the complex specific needs of a household cannot be met via the existing housing stock and construction of a specialist property is agreed as part of the new-build programme, the property may be pre-allocated prior to completion at the discretion of </w:t>
      </w:r>
      <w:r w:rsidR="0099060C">
        <w:rPr>
          <w:rFonts w:ascii="Arial" w:hAnsi="Arial" w:cs="Arial"/>
          <w:sz w:val="24"/>
          <w:szCs w:val="24"/>
        </w:rPr>
        <w:t>a Senior Housing Manager</w:t>
      </w:r>
      <w:r w:rsidR="0086208E">
        <w:rPr>
          <w:rFonts w:ascii="Arial" w:hAnsi="Arial" w:cs="Arial"/>
          <w:sz w:val="24"/>
          <w:szCs w:val="24"/>
        </w:rPr>
        <w:t xml:space="preserve"> to e</w:t>
      </w:r>
      <w:r w:rsidR="0086208E" w:rsidRPr="0086208E">
        <w:rPr>
          <w:rFonts w:ascii="Arial" w:hAnsi="Arial" w:cs="Arial"/>
          <w:bCs/>
          <w:sz w:val="24"/>
          <w:szCs w:val="24"/>
        </w:rPr>
        <w:t xml:space="preserve">nsure that these specific </w:t>
      </w:r>
      <w:r w:rsidR="0086208E">
        <w:rPr>
          <w:rFonts w:ascii="Arial" w:hAnsi="Arial" w:cs="Arial"/>
          <w:bCs/>
          <w:sz w:val="24"/>
          <w:szCs w:val="24"/>
        </w:rPr>
        <w:t xml:space="preserve">identified </w:t>
      </w:r>
      <w:r w:rsidR="0086208E" w:rsidRPr="0086208E">
        <w:rPr>
          <w:rFonts w:ascii="Arial" w:hAnsi="Arial" w:cs="Arial"/>
          <w:bCs/>
          <w:sz w:val="24"/>
          <w:szCs w:val="24"/>
        </w:rPr>
        <w:t>needs are met.</w:t>
      </w:r>
    </w:p>
    <w:p w:rsidR="00AE0C88" w:rsidRDefault="00AE0C8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9E8" w:rsidRPr="0086208E" w:rsidRDefault="009C39E8" w:rsidP="009C3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814" w:rsidRDefault="00514814" w:rsidP="009C39E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4814">
        <w:rPr>
          <w:rFonts w:ascii="Arial" w:hAnsi="Arial" w:cs="Arial"/>
          <w:b/>
          <w:bCs/>
          <w:sz w:val="24"/>
          <w:szCs w:val="24"/>
        </w:rPr>
        <w:t>Allocations Policy Review</w:t>
      </w:r>
    </w:p>
    <w:p w:rsidR="009C39E8" w:rsidRPr="009C39E8" w:rsidRDefault="009C39E8" w:rsidP="009C39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08E" w:rsidRDefault="0086208E" w:rsidP="009C39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208E">
        <w:rPr>
          <w:rFonts w:ascii="Arial" w:hAnsi="Arial" w:cs="Arial"/>
          <w:bCs/>
          <w:sz w:val="24"/>
          <w:szCs w:val="24"/>
        </w:rPr>
        <w:t>The Housing and Communities Committee agreed the current Housing Allocations Policy in November 2017</w:t>
      </w:r>
      <w:r w:rsidR="009C39E8">
        <w:rPr>
          <w:rFonts w:ascii="Arial" w:hAnsi="Arial" w:cs="Arial"/>
          <w:bCs/>
          <w:sz w:val="24"/>
          <w:szCs w:val="24"/>
        </w:rPr>
        <w:t>,</w:t>
      </w:r>
      <w:r w:rsidRPr="0086208E">
        <w:rPr>
          <w:rFonts w:ascii="Arial" w:hAnsi="Arial" w:cs="Arial"/>
          <w:bCs/>
          <w:sz w:val="24"/>
          <w:szCs w:val="24"/>
        </w:rPr>
        <w:t xml:space="preserve"> following the implementation of the Housing (Scotland) Act 2014</w:t>
      </w:r>
      <w:r>
        <w:rPr>
          <w:rFonts w:ascii="Arial" w:hAnsi="Arial" w:cs="Arial"/>
          <w:bCs/>
          <w:sz w:val="24"/>
          <w:szCs w:val="24"/>
        </w:rPr>
        <w:t>.</w:t>
      </w:r>
    </w:p>
    <w:p w:rsidR="009C39E8" w:rsidRDefault="009C39E8" w:rsidP="009C39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4814" w:rsidRDefault="0086208E" w:rsidP="009C39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208E">
        <w:rPr>
          <w:rFonts w:ascii="Arial" w:hAnsi="Arial" w:cs="Arial"/>
          <w:bCs/>
          <w:sz w:val="24"/>
          <w:szCs w:val="24"/>
        </w:rPr>
        <w:t>It was agreed that a full review of the policy would take place in 3 years, h</w:t>
      </w:r>
      <w:r>
        <w:rPr>
          <w:rFonts w:ascii="Arial" w:hAnsi="Arial" w:cs="Arial"/>
          <w:bCs/>
          <w:sz w:val="24"/>
          <w:szCs w:val="24"/>
        </w:rPr>
        <w:t>owever the Covid-19 pandemic</w:t>
      </w:r>
      <w:r w:rsidRPr="0086208E">
        <w:rPr>
          <w:rFonts w:ascii="Arial" w:hAnsi="Arial" w:cs="Arial"/>
          <w:bCs/>
          <w:sz w:val="24"/>
          <w:szCs w:val="24"/>
        </w:rPr>
        <w:t xml:space="preserve"> delayed this work and </w:t>
      </w:r>
      <w:r>
        <w:rPr>
          <w:rFonts w:ascii="Arial" w:hAnsi="Arial" w:cs="Arial"/>
          <w:bCs/>
          <w:sz w:val="24"/>
          <w:szCs w:val="24"/>
        </w:rPr>
        <w:t>the following timetable for a full review and update of the policy was agreed in November 2020:</w:t>
      </w:r>
    </w:p>
    <w:p w:rsidR="009C39E8" w:rsidRDefault="009C39E8" w:rsidP="009C39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126"/>
      </w:tblGrid>
      <w:tr w:rsidR="009C39E8" w:rsidRPr="009435AD" w:rsidTr="004C2649">
        <w:tc>
          <w:tcPr>
            <w:tcW w:w="5670" w:type="dxa"/>
            <w:shd w:val="clear" w:color="auto" w:fill="95B3D7" w:themeFill="accent1" w:themeFillTint="99"/>
            <w:vAlign w:val="center"/>
          </w:tcPr>
          <w:p w:rsidR="009C39E8" w:rsidRPr="004C2649" w:rsidRDefault="009C39E8" w:rsidP="004C2649">
            <w:pPr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9C39E8" w:rsidRPr="009435AD" w:rsidRDefault="009C39E8" w:rsidP="004C2649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9435AD">
              <w:rPr>
                <w:rFonts w:cs="Arial"/>
                <w:b/>
                <w:bCs/>
                <w:color w:val="FFFFFF" w:themeColor="background1"/>
                <w:lang w:eastAsia="en-GB"/>
              </w:rPr>
              <w:t>End</w:t>
            </w:r>
            <w:r w:rsidRPr="009435AD">
              <w:rPr>
                <w:rFonts w:cs="Arial"/>
                <w:color w:val="FFFFFF" w:themeColor="background1"/>
                <w:lang w:eastAsia="en-GB"/>
              </w:rPr>
              <w:t xml:space="preserve"> </w:t>
            </w:r>
            <w:r w:rsidRPr="009435AD">
              <w:rPr>
                <w:rFonts w:cs="Arial"/>
                <w:b/>
                <w:bCs/>
                <w:color w:val="FFFFFF" w:themeColor="background1"/>
                <w:lang w:eastAsia="en-GB"/>
              </w:rPr>
              <w:t>Date</w:t>
            </w:r>
          </w:p>
        </w:tc>
      </w:tr>
      <w:tr w:rsidR="009C39E8" w:rsidRPr="009435AD" w:rsidTr="009C39E8">
        <w:tc>
          <w:tcPr>
            <w:tcW w:w="5670" w:type="dxa"/>
            <w:shd w:val="clear" w:color="auto" w:fill="auto"/>
          </w:tcPr>
          <w:p w:rsidR="009C39E8" w:rsidRPr="009435AD" w:rsidRDefault="009C39E8" w:rsidP="00703D7B">
            <w:pPr>
              <w:spacing w:before="120" w:after="12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Research and pre consultation:</w:t>
            </w:r>
          </w:p>
          <w:p w:rsidR="009C39E8" w:rsidRPr="009435AD" w:rsidRDefault="009C39E8" w:rsidP="009C39E8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459" w:hanging="357"/>
              <w:contextualSpacing w:val="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Establish working groups for each section to be reviewed</w:t>
            </w:r>
          </w:p>
          <w:p w:rsidR="009C39E8" w:rsidRPr="009435AD" w:rsidRDefault="009C39E8" w:rsidP="009C39E8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459" w:hanging="357"/>
              <w:contextualSpacing w:val="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Interim Committee Paper for November outlining changes and timeframes</w:t>
            </w:r>
          </w:p>
          <w:p w:rsidR="009C39E8" w:rsidRPr="009435AD" w:rsidRDefault="009C39E8" w:rsidP="009C39E8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ind w:left="459" w:hanging="357"/>
              <w:contextualSpacing w:val="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Carry</w:t>
            </w:r>
            <w:r>
              <w:rPr>
                <w:rFonts w:cs="Arial"/>
                <w:lang w:eastAsia="en-GB"/>
              </w:rPr>
              <w:t xml:space="preserve"> </w:t>
            </w:r>
            <w:r w:rsidRPr="009435AD">
              <w:rPr>
                <w:rFonts w:cs="Arial"/>
                <w:lang w:eastAsia="en-GB"/>
              </w:rPr>
              <w:t>out consultation on any proposed changes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9E8" w:rsidRPr="009435AD" w:rsidRDefault="009C39E8" w:rsidP="00703D7B">
            <w:pPr>
              <w:jc w:val="center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Oct/Nov 2020</w:t>
            </w:r>
          </w:p>
        </w:tc>
      </w:tr>
      <w:tr w:rsidR="009C39E8" w:rsidRPr="009435AD" w:rsidTr="009C39E8">
        <w:tc>
          <w:tcPr>
            <w:tcW w:w="5670" w:type="dxa"/>
            <w:shd w:val="clear" w:color="auto" w:fill="auto"/>
          </w:tcPr>
          <w:p w:rsidR="009C39E8" w:rsidRPr="009435AD" w:rsidRDefault="009C39E8" w:rsidP="00703D7B">
            <w:pPr>
              <w:spacing w:before="120" w:after="12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Develop drafts of any areas being refreshed and share with working groups</w:t>
            </w:r>
          </w:p>
          <w:p w:rsidR="009C39E8" w:rsidRPr="009435AD" w:rsidRDefault="009C39E8" w:rsidP="009C39E8">
            <w:pPr>
              <w:pStyle w:val="ListParagraph"/>
              <w:numPr>
                <w:ilvl w:val="0"/>
                <w:numId w:val="23"/>
              </w:numPr>
              <w:ind w:left="459"/>
              <w:contextualSpacing w:val="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Use consultation feedback to shape 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9E8" w:rsidRPr="009435AD" w:rsidRDefault="009C39E8" w:rsidP="00703D7B">
            <w:pPr>
              <w:jc w:val="center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Dec 2020 – Mar 2021</w:t>
            </w:r>
          </w:p>
        </w:tc>
      </w:tr>
      <w:tr w:rsidR="009C39E8" w:rsidRPr="009435AD" w:rsidTr="009C39E8">
        <w:tc>
          <w:tcPr>
            <w:tcW w:w="5670" w:type="dxa"/>
            <w:shd w:val="clear" w:color="auto" w:fill="auto"/>
          </w:tcPr>
          <w:p w:rsidR="009C39E8" w:rsidRPr="009435AD" w:rsidRDefault="009C39E8" w:rsidP="00703D7B">
            <w:pPr>
              <w:spacing w:before="120" w:after="120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Review of Allocation Policy Review report to Housing and Communities Committee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9E8" w:rsidRPr="009435AD" w:rsidRDefault="009C39E8" w:rsidP="00703D7B">
            <w:pPr>
              <w:jc w:val="center"/>
              <w:rPr>
                <w:rFonts w:cs="Arial"/>
                <w:lang w:eastAsia="en-GB"/>
              </w:rPr>
            </w:pPr>
            <w:r w:rsidRPr="009435AD">
              <w:rPr>
                <w:rFonts w:cs="Arial"/>
                <w:lang w:eastAsia="en-GB"/>
              </w:rPr>
              <w:t>May 2021</w:t>
            </w:r>
          </w:p>
        </w:tc>
      </w:tr>
    </w:tbl>
    <w:p w:rsidR="00EB3CF0" w:rsidRDefault="00EB3CF0" w:rsidP="0086208E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sectPr w:rsidR="00EB3CF0" w:rsidSect="00E1042D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FD" w:rsidRDefault="009F58FD" w:rsidP="00BE4A37">
      <w:pPr>
        <w:spacing w:after="0" w:line="240" w:lineRule="auto"/>
      </w:pPr>
      <w:r>
        <w:separator/>
      </w:r>
    </w:p>
  </w:endnote>
  <w:endnote w:type="continuationSeparator" w:id="0">
    <w:p w:rsidR="009F58FD" w:rsidRDefault="009F58FD" w:rsidP="00BE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95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007" w:rsidRDefault="002D40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8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007" w:rsidRDefault="002D4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FD" w:rsidRDefault="009F58FD" w:rsidP="00BE4A37">
      <w:pPr>
        <w:spacing w:after="0" w:line="240" w:lineRule="auto"/>
      </w:pPr>
      <w:r>
        <w:separator/>
      </w:r>
    </w:p>
  </w:footnote>
  <w:footnote w:type="continuationSeparator" w:id="0">
    <w:p w:rsidR="009F58FD" w:rsidRDefault="009F58FD" w:rsidP="00BE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287"/>
    <w:multiLevelType w:val="hybridMultilevel"/>
    <w:tmpl w:val="6090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769"/>
    <w:multiLevelType w:val="hybridMultilevel"/>
    <w:tmpl w:val="113ED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52543"/>
    <w:multiLevelType w:val="hybridMultilevel"/>
    <w:tmpl w:val="7F8C9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85A79"/>
    <w:multiLevelType w:val="hybridMultilevel"/>
    <w:tmpl w:val="1EAC2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66C17"/>
    <w:multiLevelType w:val="hybridMultilevel"/>
    <w:tmpl w:val="0E08A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2445F"/>
    <w:multiLevelType w:val="hybridMultilevel"/>
    <w:tmpl w:val="7F3247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205CFD"/>
    <w:multiLevelType w:val="hybridMultilevel"/>
    <w:tmpl w:val="5DC02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A4850"/>
    <w:multiLevelType w:val="hybridMultilevel"/>
    <w:tmpl w:val="C854D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AA8"/>
    <w:multiLevelType w:val="hybridMultilevel"/>
    <w:tmpl w:val="7772D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5A39"/>
    <w:multiLevelType w:val="hybridMultilevel"/>
    <w:tmpl w:val="2062B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F2ED8"/>
    <w:multiLevelType w:val="hybridMultilevel"/>
    <w:tmpl w:val="62EA3F06"/>
    <w:lvl w:ilvl="0" w:tplc="08090005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1">
    <w:nsid w:val="1F2750BC"/>
    <w:multiLevelType w:val="multilevel"/>
    <w:tmpl w:val="C450E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D52668"/>
    <w:multiLevelType w:val="hybridMultilevel"/>
    <w:tmpl w:val="2900408E"/>
    <w:lvl w:ilvl="0" w:tplc="F634C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E3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4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63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84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E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4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6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744787"/>
    <w:multiLevelType w:val="hybridMultilevel"/>
    <w:tmpl w:val="9A22AFB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296FF1"/>
    <w:multiLevelType w:val="hybridMultilevel"/>
    <w:tmpl w:val="5EB853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636CCD"/>
    <w:multiLevelType w:val="hybridMultilevel"/>
    <w:tmpl w:val="A48ACA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E1216"/>
    <w:multiLevelType w:val="hybridMultilevel"/>
    <w:tmpl w:val="1000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140F4"/>
    <w:multiLevelType w:val="hybridMultilevel"/>
    <w:tmpl w:val="1A3CB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E6178"/>
    <w:multiLevelType w:val="hybridMultilevel"/>
    <w:tmpl w:val="0C60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E471F"/>
    <w:multiLevelType w:val="hybridMultilevel"/>
    <w:tmpl w:val="B06A548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005CE0"/>
    <w:multiLevelType w:val="hybridMultilevel"/>
    <w:tmpl w:val="81D2D8FC"/>
    <w:lvl w:ilvl="0" w:tplc="D3981D12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958E040E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C7906038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DA28BE6C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EF3A2E2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F15E5D18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4CC047C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68365EF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0A34C458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21">
    <w:nsid w:val="745A65E3"/>
    <w:multiLevelType w:val="hybridMultilevel"/>
    <w:tmpl w:val="FCB2B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777D4D"/>
    <w:multiLevelType w:val="hybridMultilevel"/>
    <w:tmpl w:val="6F84B520"/>
    <w:lvl w:ilvl="0" w:tplc="D3981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2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8"/>
  </w:num>
  <w:num w:numId="13">
    <w:abstractNumId w:val="7"/>
  </w:num>
  <w:num w:numId="14">
    <w:abstractNumId w:val="15"/>
  </w:num>
  <w:num w:numId="15">
    <w:abstractNumId w:val="6"/>
  </w:num>
  <w:num w:numId="16">
    <w:abstractNumId w:val="4"/>
  </w:num>
  <w:num w:numId="17">
    <w:abstractNumId w:val="18"/>
  </w:num>
  <w:num w:numId="18">
    <w:abstractNumId w:val="19"/>
  </w:num>
  <w:num w:numId="19">
    <w:abstractNumId w:val="13"/>
  </w:num>
  <w:num w:numId="20">
    <w:abstractNumId w:val="9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D"/>
    <w:rsid w:val="000029C3"/>
    <w:rsid w:val="00004CE2"/>
    <w:rsid w:val="0008673E"/>
    <w:rsid w:val="000A3BE8"/>
    <w:rsid w:val="000B0F7F"/>
    <w:rsid w:val="000D55DC"/>
    <w:rsid w:val="00105F3F"/>
    <w:rsid w:val="001516B7"/>
    <w:rsid w:val="001C097B"/>
    <w:rsid w:val="00220052"/>
    <w:rsid w:val="00245515"/>
    <w:rsid w:val="002650D3"/>
    <w:rsid w:val="002D4007"/>
    <w:rsid w:val="00332DB2"/>
    <w:rsid w:val="00355355"/>
    <w:rsid w:val="003774AF"/>
    <w:rsid w:val="00380E40"/>
    <w:rsid w:val="00387574"/>
    <w:rsid w:val="003E1D32"/>
    <w:rsid w:val="00442234"/>
    <w:rsid w:val="004640DC"/>
    <w:rsid w:val="00480D4C"/>
    <w:rsid w:val="004C2649"/>
    <w:rsid w:val="00500346"/>
    <w:rsid w:val="005139E9"/>
    <w:rsid w:val="00514814"/>
    <w:rsid w:val="005546FF"/>
    <w:rsid w:val="005627C3"/>
    <w:rsid w:val="005706FE"/>
    <w:rsid w:val="00613170"/>
    <w:rsid w:val="006311E3"/>
    <w:rsid w:val="006837CD"/>
    <w:rsid w:val="00694C81"/>
    <w:rsid w:val="006D189E"/>
    <w:rsid w:val="007201BF"/>
    <w:rsid w:val="00771697"/>
    <w:rsid w:val="00787220"/>
    <w:rsid w:val="00830F5F"/>
    <w:rsid w:val="0086208E"/>
    <w:rsid w:val="008B68C7"/>
    <w:rsid w:val="008C23FF"/>
    <w:rsid w:val="0093603E"/>
    <w:rsid w:val="00944938"/>
    <w:rsid w:val="00975D18"/>
    <w:rsid w:val="009777B4"/>
    <w:rsid w:val="009836C3"/>
    <w:rsid w:val="0099060C"/>
    <w:rsid w:val="009A2035"/>
    <w:rsid w:val="009B0152"/>
    <w:rsid w:val="009C39E8"/>
    <w:rsid w:val="009C6CD7"/>
    <w:rsid w:val="009F58FD"/>
    <w:rsid w:val="009F5D8F"/>
    <w:rsid w:val="00A13F66"/>
    <w:rsid w:val="00A21221"/>
    <w:rsid w:val="00A57321"/>
    <w:rsid w:val="00A75804"/>
    <w:rsid w:val="00A84944"/>
    <w:rsid w:val="00AC23AB"/>
    <w:rsid w:val="00AD61EC"/>
    <w:rsid w:val="00AE0C88"/>
    <w:rsid w:val="00AE6AC9"/>
    <w:rsid w:val="00AF676A"/>
    <w:rsid w:val="00B023E2"/>
    <w:rsid w:val="00B14066"/>
    <w:rsid w:val="00B34E61"/>
    <w:rsid w:val="00B95005"/>
    <w:rsid w:val="00BE260A"/>
    <w:rsid w:val="00BE4A37"/>
    <w:rsid w:val="00C24BD0"/>
    <w:rsid w:val="00C5014B"/>
    <w:rsid w:val="00C61DA4"/>
    <w:rsid w:val="00C64F96"/>
    <w:rsid w:val="00C86F4B"/>
    <w:rsid w:val="00CD75C3"/>
    <w:rsid w:val="00D562D5"/>
    <w:rsid w:val="00DB4146"/>
    <w:rsid w:val="00DC14A1"/>
    <w:rsid w:val="00DF3575"/>
    <w:rsid w:val="00E1042D"/>
    <w:rsid w:val="00E2579E"/>
    <w:rsid w:val="00E4178E"/>
    <w:rsid w:val="00E72926"/>
    <w:rsid w:val="00EA0EDB"/>
    <w:rsid w:val="00EA486D"/>
    <w:rsid w:val="00EB3CF0"/>
    <w:rsid w:val="00ED5DAC"/>
    <w:rsid w:val="00EE5505"/>
    <w:rsid w:val="00F17126"/>
    <w:rsid w:val="00F20E81"/>
    <w:rsid w:val="00F3388A"/>
    <w:rsid w:val="00F55B7F"/>
    <w:rsid w:val="00F64C27"/>
    <w:rsid w:val="00FF2DD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B95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37"/>
  </w:style>
  <w:style w:type="paragraph" w:styleId="Footer">
    <w:name w:val="footer"/>
    <w:basedOn w:val="Normal"/>
    <w:link w:val="FooterChar"/>
    <w:uiPriority w:val="99"/>
    <w:unhideWhenUsed/>
    <w:rsid w:val="00BE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37"/>
  </w:style>
  <w:style w:type="paragraph" w:styleId="NoSpacing">
    <w:name w:val="No Spacing"/>
    <w:uiPriority w:val="1"/>
    <w:qFormat/>
    <w:rsid w:val="00983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B950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E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37"/>
  </w:style>
  <w:style w:type="paragraph" w:styleId="Footer">
    <w:name w:val="footer"/>
    <w:basedOn w:val="Normal"/>
    <w:link w:val="FooterChar"/>
    <w:uiPriority w:val="99"/>
    <w:unhideWhenUsed/>
    <w:rsid w:val="00BE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37"/>
  </w:style>
  <w:style w:type="paragraph" w:styleId="NoSpacing">
    <w:name w:val="No Spacing"/>
    <w:uiPriority w:val="1"/>
    <w:qFormat/>
    <w:rsid w:val="009836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A7F7-BF92-46AF-AB51-9D932B3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Kelly</dc:creator>
  <cp:lastModifiedBy>Sharon MacLeod</cp:lastModifiedBy>
  <cp:revision>3</cp:revision>
  <dcterms:created xsi:type="dcterms:W3CDTF">2020-10-09T13:38:00Z</dcterms:created>
  <dcterms:modified xsi:type="dcterms:W3CDTF">2021-02-12T14:11:00Z</dcterms:modified>
</cp:coreProperties>
</file>